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18" w:rsidRPr="006B6118" w:rsidRDefault="006B6118" w:rsidP="006B6118">
      <w:pPr>
        <w:widowControl/>
        <w:shd w:val="clear" w:color="auto" w:fill="FFFFFF"/>
        <w:wordWrap w:val="0"/>
        <w:spacing w:line="420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6B6118">
        <w:rPr>
          <w:rFonts w:ascii="宋体" w:eastAsia="宋体" w:hAnsi="宋体" w:cs="Arial"/>
          <w:color w:val="000000"/>
          <w:kern w:val="0"/>
          <w:sz w:val="20"/>
          <w:szCs w:val="20"/>
        </w:rPr>
        <w:t>附件</w:t>
      </w:r>
    </w:p>
    <w:p w:rsidR="006B6118" w:rsidRPr="006B6118" w:rsidRDefault="006B6118" w:rsidP="006B6118">
      <w:pPr>
        <w:widowControl/>
        <w:shd w:val="clear" w:color="auto" w:fill="FFFFFF"/>
        <w:wordWrap w:val="0"/>
        <w:spacing w:line="420" w:lineRule="atLeast"/>
        <w:jc w:val="center"/>
        <w:rPr>
          <w:rFonts w:ascii="Arial" w:eastAsia="宋体" w:hAnsi="Arial" w:cs="Arial"/>
          <w:b/>
          <w:color w:val="000000"/>
          <w:kern w:val="0"/>
          <w:sz w:val="24"/>
          <w:szCs w:val="20"/>
        </w:rPr>
      </w:pPr>
      <w:bookmarkStart w:id="0" w:name="_GoBack"/>
      <w:r w:rsidRPr="006B6118">
        <w:rPr>
          <w:rFonts w:ascii="宋体" w:eastAsia="宋体" w:hAnsi="宋体" w:cs="Arial"/>
          <w:b/>
          <w:color w:val="000000"/>
          <w:kern w:val="0"/>
          <w:sz w:val="24"/>
          <w:szCs w:val="20"/>
        </w:rPr>
        <w:t>重点任务分工及进度安排表</w:t>
      </w:r>
    </w:p>
    <w:bookmarkEnd w:id="0"/>
    <w:p w:rsidR="006B6118" w:rsidRPr="006B6118" w:rsidRDefault="006B6118" w:rsidP="006B6118">
      <w:pPr>
        <w:widowControl/>
        <w:shd w:val="clear" w:color="auto" w:fill="FFFFFF"/>
        <w:wordWrap w:val="0"/>
        <w:spacing w:line="420" w:lineRule="atLeast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6B6118">
        <w:rPr>
          <w:rFonts w:ascii="宋体" w:eastAsia="宋体" w:hAnsi="宋体" w:cs="Arial"/>
          <w:color w:val="000000"/>
          <w:kern w:val="0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158"/>
        <w:gridCol w:w="2037"/>
        <w:gridCol w:w="1481"/>
      </w:tblGrid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工作任务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负责单位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时间进度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加快政府职能转变，完善旅游行政管理部门产业促进和综合协调职能。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省编办、省旅游局等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2015年6月底取得阶段性成果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鼓励旅游行业协会参与政府购买服务，健全组织参与宣传推广、标准制定、信息咨询、区域合作等机制。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省财政厅、省旅游局等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2015年6月前出台具体措施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完善旅游统计指标体系和调查方法，建立科学的旅游发展考核评价体系。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省统计局、省旅游局等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2015年8月前出台具体措施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完善旅游宣传推广体系和运行机制，开展市场需求调研和营销绩效评估，推进旅游宣传促销专业化、市场化。实施“1+N”营销模式，省市联动、捆绑营销，加强安徽旅游整体形象宣传。选择20个左右境内外客源地建立安徽旅游营销机构或代理门店。完善组织境内外游客来皖补助办法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省旅游局、省财政厅等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2015年6月底取得阶段性成果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研究制订促进外国人入境过境旅游签证便利化措施。争取合肥、黄山等机场口岸开展外国人签证业务并实施外国人72小时过境免签政策。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省商务厅（省口岸办）、省公安厅、省外办等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2015年6月前出台具体措施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加强与境外友好城市、友好景区交流。推进与世界旅游组织等国际旅游机构合作，支持有条件的旅游企业“走出去”。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省旅游局、省外办、省商务厅等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持续推进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积极申办中国（黄山）国际文化旅游高层论坛。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黄山市人民政府、省发展改革委、省旅游局、省文化厅等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2015年底取得阶段性成果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将皖南国际文化旅游示范区建设成为美丽中国先行区、世界一流旅游目的地、中国优秀传统文化传承创新区。探索创建黄山国家公园。支持示范区在区域合作、要素资源配置、金融创新、生态补偿等方面先行先试。提升九华山、天柱山、绩溪龙川、芜湖方特等精品景区发展水平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省发展改革委、省旅游局、省文化厅，有关市人民政府等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持续推进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重点建设皖南世界遗产之旅、九华山朝圣之旅、天柱山生态养生之旅、皖江黄金水道之旅</w:t>
            </w: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lastRenderedPageBreak/>
              <w:t>等国际旅游线路；培育皖东北历史古迹游、新安江山水画廊游、古徽州文化体验游、“三山三湖”精品山水游、环巢湖休闲度假游和多彩大别山之旅等国内精品线路。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lastRenderedPageBreak/>
              <w:t>有关市人民政府、省旅游局等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持续推进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到2020年，设区的市至少建成1处5A级景区或国家级旅游度假区、1条城市旅游休憩带、1条特色旅游商业街（美食街、文化演艺街）。有条件的市要规划建设城市旅游综合体或主题公园。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各市人民政府、省旅游局等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持续推进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加强规划引导，建设一批有山水依托、乡土记忆、地域特色的名镇名村，支持休闲农庄、特色农家乐、乡村庭院建设，积极开发生态渔村、山水人家、采摘篱园等乡村旅游产品，培育若干乡村旅游产业集聚区、</w:t>
            </w:r>
            <w:proofErr w:type="gramStart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环城市</w:t>
            </w:r>
            <w:proofErr w:type="gramEnd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乡村旅游集聚带，积极创建国家乡村旅游示范区，提升休闲农业与乡村旅游示范县、示范点创建水平。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各市人民政府、省发展改革委、省旅游局、省住房城乡建设厅、省农委、省扶贫办等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持续推进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大力实施“3311”乡村旅游富民工程，到2020年，创建30个旅游强县（市、区）、300个旅游乡镇、1000个乡村旅游示范村、1000家四星级以上农家乐。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各市人民政府、省旅游局、省住房城乡建设厅、省发展改革委、省农委等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持续推进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在城乡规划建设中加强文化旅游资源的保护和利用，注重历史文化遗存、历史名人、文博场馆等文化资源的挖掘整理和创意开发，打造一批有代表性的文化旅游精品景区。鼓励专业艺术院团与重点旅游目的地合作，打造特色鲜明、艺术水准高的专场剧目，每个5A级景区至少推出1台常态化的旅游文化演艺节目。在重点旅游线路上布局建设和提升发展20个有代表性的非遗传</w:t>
            </w:r>
            <w:proofErr w:type="gramStart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习基地</w:t>
            </w:r>
            <w:proofErr w:type="gramEnd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和传统民俗活动场所。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各市人民政府、省文化厅、省旅游局、省住房城乡建设厅等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2015年底取得阶段性成果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大力发展红色旅游，提升大别山、泾县云岭、</w:t>
            </w:r>
            <w:proofErr w:type="gramStart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淮北双</w:t>
            </w:r>
            <w:proofErr w:type="gramEnd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堆集等红色旅游经典景区开发水平，重点建设20个红色旅游小镇。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有关市人民政府、省旅游局、省发展改革委等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2015年6月底取得阶段性成果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建立和完善</w:t>
            </w:r>
            <w:proofErr w:type="gramStart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学旅行管理制度，推动</w:t>
            </w:r>
            <w:proofErr w:type="gramStart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学旅行产品规范发展。到2017年，打造10个省级研</w:t>
            </w: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lastRenderedPageBreak/>
              <w:t>学旅行基地，设区的市至少建立1个</w:t>
            </w:r>
            <w:proofErr w:type="gramStart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学旅行基地。建立健全中小学阶段</w:t>
            </w:r>
            <w:proofErr w:type="gramStart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学旅行体系。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ind w:left="120" w:hanging="120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lastRenderedPageBreak/>
              <w:t>各市人民政府、省教育厅、省</w:t>
            </w:r>
          </w:p>
          <w:p w:rsidR="006B6118" w:rsidRPr="006B6118" w:rsidRDefault="006B6118" w:rsidP="006B6118">
            <w:pPr>
              <w:widowControl/>
              <w:wordWrap w:val="0"/>
              <w:spacing w:line="378" w:lineRule="atLeast"/>
              <w:ind w:left="120" w:hanging="120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旅游局等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2015年底取得阶段性成果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重点培育皖南山地运动、皖中温泉养生、大别山生态养生、皖北中医药养生等品牌。培育若干体育旅游活动和赛事品牌。支持发展森林旅游、游轮旅游、低空飞行旅游和疗养康复、美容保健等旅游新业态。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各市人民政府、省旅游局、省农委、省林业厅、省卫生计生委、省体育局、省交通运输厅等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持续推进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规划引导各类景区加强老年旅游服务设施建设，严格执行无障碍环境建设标准。制定老年旅游服务规范，推动形成专业化的老年旅游服务品牌。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省旅游局、省住房城乡建设厅、省民政厅等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持续推进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加大对旅游商品创意设计和老字号纪念品、特色手工艺品开发支持力度，定期举办旅游商品创意设计评选大赛，推出100个有特色、有影响力的“安徽旅游必购商品”。支持建设若干集研发、生产、展示、销售于一体的旅游装备产业基地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各市人民政府、省旅游局、省经济和信息化委、省商务厅等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2015年6月底取得阶段性成果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到2017年，新增旅游商品“五进”活动示范点200个，新建3个以上大型安徽地产品直销中心。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有关市人民政府、省商务厅、省旅游局等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2015年底取得阶段性成果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实施交通干线与3A级以上景区“最后一公里”通达工程，加快建设黄山风景区东向快速通道。推进高速公路电子不停车收费系统（ETC）建设，完善高速公路服务区和重点加油站点的旅游服务功能，将省际边界高速公路服务区打造成为旅游形象展示窗口和</w:t>
            </w:r>
            <w:proofErr w:type="gramStart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自驾游集散</w:t>
            </w:r>
            <w:proofErr w:type="gramEnd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咨询中心。将通往旅游景区的标志纳入道路交通标志范围，完善旅游标志标牌体系。合理布局和建设皖江游轮码头。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各市人民政府、省交通运输厅、省公安厅、省商务厅、省旅游局等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2015年6月前出台具体措施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规划建设一批汽车旅馆和自驾车、房车营地、露营地。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省旅游局、省体育局、省住房城乡建设厅、省发展改革委等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2015年6月前出台具体措施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构建集全省旅游信息发布、电子商务于一体的智慧旅游综合平台，实现旅游与交通、公安、商务等数据信息共享。推动建设一批智慧旅游城市、智慧旅游企业，加速旅游支付电子化和</w:t>
            </w: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lastRenderedPageBreak/>
              <w:t>便利化进程。到2017年，3A级以上景区、三星级以上饭店、旅游集散中心等主要旅游场所实现免费无线宽带网络全覆盖。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lastRenderedPageBreak/>
              <w:t>各市人民政府、省旅游局、省经济和信息化委、省公安厅、省交通</w:t>
            </w: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lastRenderedPageBreak/>
              <w:t>运输厅、省商务厅、省政府金融办等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lastRenderedPageBreak/>
              <w:t>2015年底取得阶段性成果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推进旅游服务标准化工程。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省旅游局、省质监局等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持续推进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加强旅游交通、餐饮食品、特种设备等安全监督检查。按照属地管理原则，将旅游应急管理纳入各级政府应急管理体系，建立健全旅游景区突发事件、高峰期大客流应对处置机制和旅游安全预警信息发布制度。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各市人民政府、省旅游局、省交通运输厅、省质监局、省食品药品监管局、</w:t>
            </w:r>
            <w:proofErr w:type="gramStart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省安全</w:t>
            </w:r>
            <w:proofErr w:type="gramEnd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监管局等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持续推进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提高黄山救援基地应急救援能力，推动建设大别山旅游救援基地并争取纳入国家应急救援基地范围。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省安全</w:t>
            </w:r>
            <w:proofErr w:type="gramEnd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监管局、省发展改革委，有关市人民政府等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2015年底取得阶段性成果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完善旅游企业和从业人员诚信等级评定、“黑名单”制度，建立健全旅游投诉统一受理机制、违法信息共享机制。推行旅游市场综合执法。大力开展文明旅游活动。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省旅游局、省工商局等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持续推进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政府引导设立旅游产业基金。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省旅游局、省财政厅、省发展改革委等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2015年6月前出台具体措施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依法依规开展旅游景区经营权、股权、商标专用权质押和林权、土地使用权抵押等。加强旅游产业直接融资后备企业培育，支持符合条件的旅游企业通过发行企业债、公司债和上市等多渠道扩大融资。加大对小</w:t>
            </w:r>
            <w:proofErr w:type="gramStart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微旅游</w:t>
            </w:r>
            <w:proofErr w:type="gramEnd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企业和乡村旅游的信贷支持。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省政府金融办、省住房城乡建设厅、省农委、省林业厅、省工商局等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2015年6月前出台具体措施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改革完善旅游用地管理制度。细化利用荒地、荒坡、荒滩、垃圾场、废弃矿山和塌陷区土地开发旅游项目的支持措施。省政府确定的重大旅游项目建设用地，按照《安徽省省级预留建设用地计划指标使用管理办法》优先予以安排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省国土资源厅等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2015年6月前出台具体措施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将带薪年休假制度落实情况纳入各级政府议事日程，作为劳动监察和职工权益保障的重要内容。推动机关、企事业单位加快落实职工带薪年休假制度。完善学校放假管理办法，建立学校放假与职工带薪年休假衔接机制，在教学时</w:t>
            </w: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lastRenderedPageBreak/>
              <w:t>间总量不变的情况下，中小学可按有关规定安排放春假。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lastRenderedPageBreak/>
              <w:t>各市人民政府，省人力资源社</w:t>
            </w:r>
          </w:p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会保障厅、省总工会、省教育厅等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持续推进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大力发展旅游职业教育，加强旅游学科体系建设，探索旅游“智库”建设，推动旅游政产学研协同创新，实施全省旅游业青年专家培养计划，完善旅游行政管理人员、职业经理人和各类实用人才培训制度，健全旅游从业人员评价和激励机制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省教育厅、省人力资源社会保障厅、省旅游局等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持续推进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推进导游管理体制改革，将导游人员培训作为全省技能人才培养的重要内容。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省旅游局、省人力资源社会保障厅等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2015年6月前出台具体措施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将旅游业纳入年度目标管理绩效考核，确保国家和</w:t>
            </w:r>
            <w:proofErr w:type="gramStart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省各项惠旅强企政策</w:t>
            </w:r>
            <w:proofErr w:type="gramEnd"/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措施落实到位。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各市人民政府，省政府督查室、省旅游局等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持续推进</w:t>
            </w:r>
          </w:p>
        </w:tc>
      </w:tr>
      <w:tr w:rsidR="006B6118" w:rsidRPr="006B6118" w:rsidTr="006B6118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对各地及有关部门贯彻执行本意见情况开展督促检查。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省政府督查室、省旅游局等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118" w:rsidRPr="006B6118" w:rsidRDefault="006B6118" w:rsidP="006B6118">
            <w:pPr>
              <w:widowControl/>
              <w:wordWrap w:val="0"/>
              <w:spacing w:line="378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6B611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2015年6月前出台具体措施</w:t>
            </w:r>
          </w:p>
        </w:tc>
      </w:tr>
    </w:tbl>
    <w:p w:rsidR="00FB6B45" w:rsidRDefault="00FB6B45">
      <w:pPr>
        <w:rPr>
          <w:rFonts w:hint="eastAsia"/>
        </w:rPr>
      </w:pPr>
    </w:p>
    <w:sectPr w:rsidR="00FB6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7D"/>
    <w:rsid w:val="006B6118"/>
    <w:rsid w:val="007D2E7D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A0D23-F7A8-430C-A0C2-657C4DC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897">
          <w:marLeft w:val="0"/>
          <w:marRight w:val="0"/>
          <w:marTop w:val="0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1113285646">
              <w:marLeft w:val="0"/>
              <w:marRight w:val="0"/>
              <w:marTop w:val="0"/>
              <w:marBottom w:val="0"/>
              <w:divBdr>
                <w:top w:val="single" w:sz="2" w:space="0" w:color="00FF00"/>
                <w:left w:val="single" w:sz="2" w:space="0" w:color="00FF00"/>
                <w:bottom w:val="single" w:sz="2" w:space="0" w:color="00FF00"/>
                <w:right w:val="single" w:sz="2" w:space="0" w:color="00FF00"/>
              </w:divBdr>
              <w:divsChild>
                <w:div w:id="1371490484">
                  <w:marLeft w:val="0"/>
                  <w:marRight w:val="0"/>
                  <w:marTop w:val="0"/>
                  <w:marBottom w:val="0"/>
                  <w:divBdr>
                    <w:top w:val="single" w:sz="6" w:space="0" w:color="2FA1C5"/>
                    <w:left w:val="single" w:sz="6" w:space="0" w:color="2FA1C5"/>
                    <w:bottom w:val="single" w:sz="6" w:space="0" w:color="2FA1C5"/>
                    <w:right w:val="single" w:sz="6" w:space="0" w:color="2FA1C5"/>
                  </w:divBdr>
                  <w:divsChild>
                    <w:div w:id="2692458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03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代梦超</dc:creator>
  <cp:keywords/>
  <dc:description/>
  <cp:lastModifiedBy>代梦超</cp:lastModifiedBy>
  <cp:revision>2</cp:revision>
  <dcterms:created xsi:type="dcterms:W3CDTF">2015-07-30T06:52:00Z</dcterms:created>
  <dcterms:modified xsi:type="dcterms:W3CDTF">2015-07-30T06:54:00Z</dcterms:modified>
</cp:coreProperties>
</file>